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2"/>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r>
            <w:fldChar w:fldCharType="begin"/>
          </w:r>
          <w:r>
            <w:instrText xml:space="preserve"> HYPERLINK \l "_Toc10789"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_Toc10789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"_Toc26498"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_Toc26498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"_Toc2892"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_Toc2892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"_Toc9208"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_Toc9208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"_Toc18122"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_Toc18122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"_Toc27913"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_Toc27913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"_Toc3739"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_Toc3739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"_Toc27556"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_Toc27556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"_Toc21306"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_Toc21306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"_Toc5274"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_Toc5274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"_Toc19289"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单位自评结果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_Toc19289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"_Toc23823"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_Toc23823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"_Toc28680"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_Toc28680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"_Toc19358"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_Toc19358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"_Toc21255"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_Toc21255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p>
        <w:p>
          <w:pPr>
            <w:spacing w:line="360" w:lineRule="auto"/>
            <w:jc w:val="center"/>
            <w:rPr>
              <w:rFonts w:ascii="华文中宋" w:hAnsi="华文中宋" w:eastAsia="华文中宋" w:cs="方正小标宋简体"/>
              <w:b/>
              <w:szCs w:val="44"/>
            </w:rPr>
          </w:pPr>
          <w:r>
            <w:rPr>
              <w:rFonts w:hint="eastAsia" w:ascii="黑体" w:hAnsi="黑体" w:eastAsia="黑体" w:cs="黑体"/>
              <w:sz w:val="28"/>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4141"/>
      <w:bookmarkStart w:id="2" w:name="_Toc7263"/>
      <w:r>
        <w:rPr>
          <w:rFonts w:hint="eastAsia" w:ascii="华文中宋" w:hAnsi="华文中宋" w:eastAsia="华文中宋" w:cs="方正小标宋简体"/>
          <w:b/>
          <w:sz w:val="44"/>
          <w:szCs w:val="44"/>
        </w:rPr>
        <w:t>三门峡市市场监督管理局</w:t>
      </w:r>
      <w:bookmarkEnd w:id="1"/>
      <w:bookmarkEnd w:id="2"/>
    </w:p>
    <w:p>
      <w:pPr>
        <w:spacing w:line="360" w:lineRule="auto"/>
        <w:jc w:val="center"/>
        <w:outlineLvl w:val="0"/>
        <w:rPr>
          <w:rFonts w:ascii="华文中宋" w:hAnsi="华文中宋" w:eastAsia="华文中宋" w:cs="方正小标宋简体"/>
          <w:b/>
          <w:sz w:val="44"/>
          <w:szCs w:val="44"/>
        </w:rPr>
      </w:pPr>
      <w:bookmarkStart w:id="3" w:name="_Toc23711"/>
      <w:bookmarkStart w:id="4" w:name="_Toc851"/>
      <w:bookmarkStart w:id="5" w:name="_Toc27784"/>
      <w:bookmarkStart w:id="6" w:name="_Toc3693"/>
      <w:bookmarkStart w:id="7" w:name="_Toc31605"/>
      <w:bookmarkStart w:id="8" w:name="_Toc14085"/>
      <w:bookmarkStart w:id="9" w:name="_Toc24313"/>
      <w:bookmarkStart w:id="10" w:name="_Toc15802"/>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3"/>
      <w:bookmarkEnd w:id="4"/>
      <w:bookmarkEnd w:id="5"/>
      <w:bookmarkEnd w:id="6"/>
      <w:bookmarkEnd w:id="7"/>
      <w:bookmarkEnd w:id="8"/>
      <w:bookmarkEnd w:id="9"/>
      <w:bookmarkEnd w:id="10"/>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 xml:space="preserve"> 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w:t>
      </w:r>
      <w:r>
        <w:rPr>
          <w:rFonts w:hint="eastAsia" w:ascii="仿宋_GB2312" w:eastAsia="仿宋_GB2312" w:cs="仿宋_GB2312"/>
          <w:sz w:val="32"/>
          <w:szCs w:val="32"/>
          <w:lang w:eastAsia="zh-CN"/>
        </w:rPr>
        <w:t>，</w:t>
      </w:r>
      <w:r>
        <w:rPr>
          <w:rFonts w:hint="eastAsia" w:ascii="仿宋_GB2312" w:eastAsia="仿宋_GB2312" w:cs="仿宋_GB2312"/>
          <w:sz w:val="32"/>
          <w:szCs w:val="32"/>
        </w:rPr>
        <w:t>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5"/>
        <w:keepNext w:val="0"/>
        <w:keepLines w:val="0"/>
        <w:spacing w:before="0" w:after="0" w:line="360" w:lineRule="auto"/>
        <w:rPr>
          <w:rFonts w:ascii="黑体" w:hAnsi="黑体" w:eastAsia="黑体" w:cs="黑体"/>
          <w:sz w:val="32"/>
          <w:szCs w:val="32"/>
        </w:rPr>
      </w:pPr>
      <w:bookmarkStart w:id="11" w:name="_Toc13873"/>
      <w:bookmarkStart w:id="12" w:name="_Toc15017"/>
      <w:bookmarkStart w:id="13" w:name="_Toc10789"/>
      <w:r>
        <w:rPr>
          <w:rFonts w:hint="eastAsia" w:ascii="黑体" w:hAnsi="黑体" w:eastAsia="黑体" w:cs="黑体"/>
          <w:sz w:val="32"/>
          <w:szCs w:val="32"/>
        </w:rPr>
        <w:t>一、项目支出基本情况</w:t>
      </w:r>
      <w:bookmarkEnd w:id="11"/>
      <w:bookmarkEnd w:id="12"/>
      <w:bookmarkEnd w:id="13"/>
    </w:p>
    <w:p>
      <w:pPr>
        <w:pStyle w:val="6"/>
        <w:keepNext w:val="0"/>
        <w:keepLines w:val="0"/>
        <w:adjustRightInd/>
        <w:snapToGrid/>
        <w:spacing w:before="0" w:after="0"/>
        <w:rPr>
          <w:rFonts w:ascii="黑体" w:hAnsi="黑体" w:eastAsia="黑体" w:cs="黑体"/>
          <w:sz w:val="30"/>
          <w:szCs w:val="30"/>
        </w:rPr>
      </w:pPr>
      <w:bookmarkStart w:id="14" w:name="_Toc19332"/>
      <w:bookmarkStart w:id="15" w:name="_Toc1381"/>
      <w:bookmarkStart w:id="16" w:name="_Toc26498"/>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4"/>
      <w:bookmarkEnd w:id="15"/>
      <w:bookmarkEnd w:id="16"/>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w:t>
      </w:r>
      <w:r>
        <w:rPr>
          <w:rFonts w:hint="eastAsia" w:ascii="仿宋_GB2312" w:eastAsia="仿宋_GB2312" w:cs="仿宋_GB2312"/>
          <w:sz w:val="32"/>
          <w:szCs w:val="32"/>
          <w:lang w:eastAsia="zh-CN"/>
        </w:rPr>
        <w:t>：</w:t>
      </w:r>
      <w:bookmarkStart w:id="76" w:name="_GoBack"/>
      <w:bookmarkEnd w:id="76"/>
      <w:r>
        <w:rPr>
          <w:rFonts w:hint="eastAsia" w:ascii="仿宋_GB2312" w:eastAsia="仿宋_GB2312" w:cs="仿宋_GB2312"/>
          <w:sz w:val="32"/>
          <w:szCs w:val="32"/>
        </w:rPr>
        <w:t>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会议费年初预算数为预算为10.00万元，全年财政拨款10.00万元，全年项目实际支出10.00万元，预算执行率100%。</w:t>
      </w:r>
    </w:p>
    <w:p>
      <w:pPr>
        <w:pStyle w:val="6"/>
        <w:keepNext w:val="0"/>
        <w:keepLines w:val="0"/>
        <w:adjustRightInd/>
        <w:snapToGrid/>
        <w:spacing w:before="0" w:after="0"/>
        <w:rPr>
          <w:rFonts w:ascii="黑体" w:hAnsi="黑体" w:eastAsia="黑体" w:cs="黑体"/>
          <w:sz w:val="30"/>
          <w:szCs w:val="30"/>
        </w:rPr>
      </w:pPr>
      <w:bookmarkStart w:id="17" w:name="_Toc839"/>
      <w:bookmarkStart w:id="18" w:name="_Toc2892"/>
      <w:bookmarkStart w:id="19" w:name="_Toc843"/>
      <w:r>
        <w:rPr>
          <w:rFonts w:hint="eastAsia" w:ascii="黑体" w:hAnsi="黑体" w:eastAsia="黑体" w:cs="黑体"/>
          <w:sz w:val="30"/>
          <w:szCs w:val="30"/>
        </w:rPr>
        <w:t>（二）项目内容</w:t>
      </w:r>
      <w:bookmarkEnd w:id="17"/>
      <w:bookmarkEnd w:id="18"/>
      <w:bookmarkEnd w:id="19"/>
    </w:p>
    <w:p>
      <w:pPr>
        <w:shd w:val="clear" w:color="auto" w:fill="FFFFFF"/>
        <w:spacing w:line="360" w:lineRule="auto"/>
        <w:ind w:firstLine="640" w:firstLineChars="200"/>
        <w:rPr>
          <w:rFonts w:hint="eastAsia" w:ascii="仿宋_GB2312" w:eastAsia="仿宋_GB2312" w:cs="仿宋_GB2312"/>
          <w:sz w:val="32"/>
          <w:szCs w:val="32"/>
        </w:rPr>
      </w:pPr>
      <w:bookmarkStart w:id="20" w:name="_Toc18257"/>
      <w:bookmarkStart w:id="21" w:name="_Toc23203"/>
      <w:r>
        <w:rPr>
          <w:rFonts w:hint="eastAsia" w:ascii="仿宋_GB2312" w:eastAsia="仿宋_GB2312" w:cs="仿宋_GB2312"/>
          <w:sz w:val="32"/>
          <w:szCs w:val="32"/>
        </w:rPr>
        <w:t>今年以来，我局举办全系统年度工作会议</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次，举办市场监管业务工作会议</w:t>
      </w:r>
      <w:r>
        <w:rPr>
          <w:rFonts w:hint="eastAsia" w:ascii="仿宋_GB2312" w:eastAsia="仿宋_GB2312" w:cs="仿宋_GB2312"/>
          <w:sz w:val="32"/>
          <w:szCs w:val="32"/>
          <w:lang w:val="en-US" w:eastAsia="zh-CN"/>
        </w:rPr>
        <w:t>15</w:t>
      </w:r>
      <w:r>
        <w:rPr>
          <w:rFonts w:hint="eastAsia" w:ascii="仿宋_GB2312" w:eastAsia="仿宋_GB2312" w:cs="仿宋_GB2312"/>
          <w:sz w:val="32"/>
          <w:szCs w:val="32"/>
        </w:rPr>
        <w:t>次，加强</w:t>
      </w:r>
      <w:bookmarkStart w:id="22" w:name="_Toc9208"/>
      <w:r>
        <w:rPr>
          <w:rFonts w:hint="eastAsia" w:ascii="仿宋_GB2312" w:eastAsia="仿宋_GB2312" w:cs="仿宋_GB2312"/>
          <w:sz w:val="32"/>
          <w:szCs w:val="32"/>
        </w:rPr>
        <w:t>对将要召开和按惯例举办的会议，坚持提前筹划，超前服务，认真做好</w:t>
      </w:r>
      <w:r>
        <w:rPr>
          <w:rFonts w:hint="eastAsia" w:ascii="仿宋_GB2312" w:eastAsia="仿宋_GB2312" w:cs="仿宋_GB2312"/>
          <w:sz w:val="32"/>
          <w:szCs w:val="32"/>
          <w:lang w:eastAsia="zh-CN"/>
        </w:rPr>
        <w:t>会议</w:t>
      </w:r>
      <w:r>
        <w:rPr>
          <w:rFonts w:hint="eastAsia" w:ascii="仿宋_GB2312" w:eastAsia="仿宋_GB2312" w:cs="仿宋_GB2312"/>
          <w:sz w:val="32"/>
          <w:szCs w:val="32"/>
        </w:rPr>
        <w:t>方案拟定、人员确定、会场安排等准备工作；周密部署，严谨细致。以“零差错”为目标，努力做到细致安排、精心组织和周到服务，对通知下发、人员落实、会场布置和服务以及材料准备等各个环节，都严格进行检查落实。积极对接、统筹安排，明确任务，形成合力，落实责任，圆满完成会务工作。创新办会工作，办好每场会务工作，加强会议管理，严格办会审批手续，从严会议支出审核，按标准安排食宿，提倡节约办会。</w:t>
      </w:r>
    </w:p>
    <w:p>
      <w:pPr>
        <w:shd w:val="clear" w:color="auto" w:fill="FFFFFF"/>
        <w:spacing w:line="360" w:lineRule="auto"/>
        <w:ind w:firstLine="600" w:firstLineChars="200"/>
        <w:rPr>
          <w:rFonts w:ascii="黑体" w:hAnsi="黑体" w:eastAsia="黑体" w:cs="黑体"/>
          <w:sz w:val="30"/>
          <w:szCs w:val="30"/>
        </w:rPr>
      </w:pPr>
      <w:r>
        <w:rPr>
          <w:rFonts w:hint="eastAsia" w:ascii="黑体" w:hAnsi="黑体" w:eastAsia="黑体" w:cs="黑体"/>
          <w:sz w:val="30"/>
          <w:szCs w:val="30"/>
        </w:rPr>
        <w:t>（三）绩效目标批复情况</w:t>
      </w:r>
      <w:bookmarkEnd w:id="20"/>
      <w:bookmarkEnd w:id="21"/>
      <w:bookmarkEnd w:id="22"/>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我单位各科室，根据历史依据和当年目标任务编制202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我部门年度预算后，将绩效目标随部门预算批复我部门；我部门将批复的绩效目标按预算管理级次细化批复到项目科室，并提出绩效管理具体工作要求。</w:t>
      </w:r>
    </w:p>
    <w:p>
      <w:pPr>
        <w:pStyle w:val="5"/>
        <w:keepNext w:val="0"/>
        <w:keepLines w:val="0"/>
        <w:spacing w:before="0" w:after="0" w:line="360" w:lineRule="auto"/>
        <w:rPr>
          <w:rFonts w:ascii="黑体" w:hAnsi="黑体" w:eastAsia="黑体" w:cs="黑体"/>
          <w:sz w:val="32"/>
          <w:szCs w:val="32"/>
        </w:rPr>
      </w:pPr>
      <w:bookmarkStart w:id="23" w:name="_Toc31315"/>
      <w:bookmarkStart w:id="24" w:name="_Toc18122"/>
      <w:bookmarkStart w:id="25" w:name="_Toc26306"/>
      <w:r>
        <w:rPr>
          <w:rFonts w:hint="eastAsia" w:ascii="黑体" w:hAnsi="黑体" w:eastAsia="黑体" w:cs="黑体"/>
          <w:sz w:val="32"/>
          <w:szCs w:val="32"/>
        </w:rPr>
        <w:t>二、单位</w:t>
      </w:r>
      <w:r>
        <w:rPr>
          <w:rFonts w:ascii="黑体" w:hAnsi="黑体" w:eastAsia="黑体" w:cs="黑体"/>
          <w:sz w:val="32"/>
          <w:szCs w:val="32"/>
        </w:rPr>
        <w:t>自评工作开展情况</w:t>
      </w:r>
      <w:bookmarkEnd w:id="23"/>
      <w:bookmarkEnd w:id="24"/>
      <w:bookmarkEnd w:id="25"/>
    </w:p>
    <w:p>
      <w:pPr>
        <w:pStyle w:val="6"/>
        <w:keepNext w:val="0"/>
        <w:keepLines w:val="0"/>
        <w:adjustRightInd/>
        <w:snapToGrid/>
        <w:spacing w:before="0" w:after="0"/>
        <w:rPr>
          <w:rFonts w:ascii="黑体" w:hAnsi="黑体" w:eastAsia="黑体" w:cs="黑体"/>
          <w:sz w:val="30"/>
          <w:szCs w:val="30"/>
        </w:rPr>
      </w:pPr>
      <w:bookmarkStart w:id="26" w:name="_Toc27913"/>
      <w:bookmarkStart w:id="27" w:name="_Toc12595"/>
      <w:bookmarkStart w:id="28" w:name="_Toc31583"/>
      <w:bookmarkStart w:id="29" w:name="_Toc8544"/>
      <w:bookmarkStart w:id="30" w:name="_Toc25866"/>
      <w:r>
        <w:rPr>
          <w:rFonts w:hint="eastAsia" w:ascii="黑体" w:hAnsi="黑体" w:eastAsia="黑体" w:cs="黑体"/>
          <w:sz w:val="30"/>
          <w:szCs w:val="30"/>
        </w:rPr>
        <w:t>（一）绩效自评目的和意义</w:t>
      </w:r>
      <w:bookmarkEnd w:id="26"/>
      <w:bookmarkEnd w:id="27"/>
      <w:bookmarkEnd w:id="28"/>
      <w:bookmarkEnd w:id="29"/>
      <w:bookmarkEnd w:id="3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6"/>
        <w:keepNext w:val="0"/>
        <w:keepLines w:val="0"/>
        <w:adjustRightInd/>
        <w:snapToGrid/>
        <w:spacing w:before="0" w:after="0"/>
        <w:rPr>
          <w:rFonts w:ascii="黑体" w:hAnsi="黑体" w:eastAsia="黑体" w:cs="黑体"/>
          <w:sz w:val="30"/>
          <w:szCs w:val="30"/>
        </w:rPr>
      </w:pPr>
      <w:bookmarkStart w:id="31" w:name="_Toc21569"/>
      <w:bookmarkStart w:id="32" w:name="_Toc3739"/>
      <w:bookmarkStart w:id="33" w:name="_Toc4202"/>
      <w:bookmarkStart w:id="34" w:name="_Toc26818"/>
      <w:bookmarkStart w:id="35" w:name="_Toc9139"/>
      <w:r>
        <w:rPr>
          <w:rFonts w:hint="eastAsia" w:ascii="黑体" w:hAnsi="黑体" w:eastAsia="黑体" w:cs="黑体"/>
          <w:sz w:val="30"/>
          <w:szCs w:val="30"/>
        </w:rPr>
        <w:t>（二）绩效自评对象和范围</w:t>
      </w:r>
      <w:bookmarkEnd w:id="31"/>
      <w:bookmarkEnd w:id="32"/>
      <w:bookmarkEnd w:id="33"/>
      <w:bookmarkEnd w:id="34"/>
      <w:bookmarkEnd w:id="3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本次绩效自评对象为三门峡市市场监督管理局，202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年实施会议费的费用支出，涉及资金10.00</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，评价范围为涉及该项目管理及其预算资金使用绩效的相关情况。</w:t>
      </w:r>
    </w:p>
    <w:p>
      <w:pPr>
        <w:pStyle w:val="6"/>
        <w:keepNext w:val="0"/>
        <w:keepLines w:val="0"/>
        <w:adjustRightInd/>
        <w:snapToGrid/>
        <w:spacing w:before="0" w:after="0"/>
        <w:rPr>
          <w:rFonts w:ascii="黑体" w:hAnsi="黑体" w:eastAsia="黑体" w:cs="黑体"/>
          <w:sz w:val="30"/>
          <w:szCs w:val="30"/>
        </w:rPr>
      </w:pPr>
      <w:bookmarkStart w:id="36" w:name="_Toc31552"/>
      <w:bookmarkStart w:id="37" w:name="_Toc17710"/>
      <w:bookmarkStart w:id="38" w:name="_Toc23494"/>
      <w:bookmarkStart w:id="39" w:name="_Toc21596"/>
      <w:bookmarkStart w:id="40" w:name="_Toc27556"/>
      <w:r>
        <w:rPr>
          <w:rFonts w:hint="eastAsia" w:ascii="黑体" w:hAnsi="黑体" w:eastAsia="黑体" w:cs="黑体"/>
          <w:sz w:val="30"/>
          <w:szCs w:val="30"/>
        </w:rPr>
        <w:t>（三）绩效评价的依据</w:t>
      </w:r>
      <w:bookmarkEnd w:id="36"/>
      <w:bookmarkEnd w:id="37"/>
      <w:bookmarkEnd w:id="38"/>
      <w:bookmarkEnd w:id="39"/>
      <w:bookmarkEnd w:id="4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41" w:name="_Toc15060"/>
      <w:bookmarkStart w:id="42" w:name="_Toc2346"/>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6"/>
        <w:keepNext w:val="0"/>
        <w:keepLines w:val="0"/>
        <w:adjustRightInd/>
        <w:snapToGrid/>
        <w:spacing w:before="0" w:after="0"/>
        <w:rPr>
          <w:rFonts w:ascii="黑体" w:hAnsi="黑体" w:eastAsia="黑体" w:cs="黑体"/>
          <w:sz w:val="30"/>
          <w:szCs w:val="30"/>
        </w:rPr>
      </w:pPr>
      <w:bookmarkStart w:id="43" w:name="_Toc1796"/>
      <w:bookmarkStart w:id="44" w:name="_Toc21306"/>
      <w:bookmarkStart w:id="45" w:name="_Toc18992"/>
      <w:r>
        <w:rPr>
          <w:rFonts w:hint="eastAsia" w:ascii="黑体" w:hAnsi="黑体" w:eastAsia="黑体" w:cs="黑体"/>
          <w:sz w:val="30"/>
          <w:szCs w:val="30"/>
        </w:rPr>
        <w:t>（四）评分方法</w:t>
      </w:r>
      <w:bookmarkEnd w:id="41"/>
      <w:bookmarkEnd w:id="42"/>
      <w:bookmarkEnd w:id="43"/>
      <w:bookmarkEnd w:id="44"/>
      <w:bookmarkEnd w:id="4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6"/>
        <w:keepNext w:val="0"/>
        <w:keepLines w:val="0"/>
        <w:adjustRightInd/>
        <w:snapToGrid/>
        <w:spacing w:before="0" w:after="0"/>
        <w:rPr>
          <w:rFonts w:ascii="黑体" w:hAnsi="黑体" w:eastAsia="黑体" w:cs="黑体"/>
          <w:sz w:val="30"/>
          <w:szCs w:val="30"/>
        </w:rPr>
      </w:pPr>
      <w:bookmarkStart w:id="46" w:name="_Toc7828"/>
      <w:bookmarkStart w:id="47" w:name="_Toc15508"/>
      <w:bookmarkStart w:id="48" w:name="_Toc18185"/>
      <w:bookmarkStart w:id="49" w:name="_Toc10949"/>
      <w:bookmarkStart w:id="50" w:name="_Toc5274"/>
      <w:r>
        <w:rPr>
          <w:rFonts w:hint="eastAsia" w:ascii="黑体" w:hAnsi="黑体" w:eastAsia="黑体" w:cs="黑体"/>
          <w:sz w:val="30"/>
          <w:szCs w:val="30"/>
        </w:rPr>
        <w:t>（五）绩效自评工作组织</w:t>
      </w:r>
      <w:bookmarkEnd w:id="46"/>
      <w:bookmarkEnd w:id="47"/>
      <w:bookmarkEnd w:id="48"/>
      <w:bookmarkEnd w:id="49"/>
      <w:bookmarkEnd w:id="5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〕3号）相关要求，由工</w:t>
      </w:r>
      <w:r>
        <w:rPr>
          <w:rFonts w:hint="eastAsia" w:ascii="仿宋_GB2312" w:hAnsi="仿宋_GB2312" w:eastAsia="仿宋_GB2312" w:cs="仿宋_GB2312"/>
          <w:sz w:val="32"/>
          <w:szCs w:val="32"/>
          <w:lang w:eastAsia="zh-CN"/>
        </w:rPr>
        <w:t>相关业务科室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5"/>
        <w:keepNext w:val="0"/>
        <w:keepLines w:val="0"/>
        <w:spacing w:before="0" w:after="0" w:line="360" w:lineRule="auto"/>
        <w:rPr>
          <w:rFonts w:ascii="黑体" w:hAnsi="黑体" w:eastAsia="黑体" w:cs="黑体"/>
          <w:sz w:val="32"/>
          <w:szCs w:val="32"/>
          <w:lang w:val="zh-CN"/>
        </w:rPr>
      </w:pPr>
      <w:bookmarkStart w:id="51" w:name="_Toc19289"/>
      <w:bookmarkStart w:id="52" w:name="_Toc12278"/>
      <w:bookmarkStart w:id="53" w:name="_Toc17646"/>
      <w:bookmarkStart w:id="54" w:name="_Toc16"/>
      <w:bookmarkStart w:id="55" w:name="_Toc5171"/>
      <w:r>
        <w:rPr>
          <w:rFonts w:hint="eastAsia" w:ascii="黑体" w:hAnsi="黑体" w:eastAsia="黑体" w:cs="黑体"/>
          <w:sz w:val="32"/>
          <w:szCs w:val="32"/>
        </w:rPr>
        <w:t>三、</w:t>
      </w:r>
      <w:r>
        <w:rPr>
          <w:rFonts w:ascii="黑体" w:hAnsi="黑体" w:eastAsia="黑体" w:cs="黑体"/>
          <w:sz w:val="32"/>
          <w:szCs w:val="32"/>
          <w:lang w:val="zh-CN"/>
        </w:rPr>
        <w:t>单位自评结果及分析</w:t>
      </w:r>
      <w:bookmarkEnd w:id="51"/>
      <w:bookmarkEnd w:id="52"/>
      <w:bookmarkEnd w:id="53"/>
      <w:bookmarkEnd w:id="54"/>
      <w:bookmarkEnd w:id="55"/>
    </w:p>
    <w:p>
      <w:pPr>
        <w:pStyle w:val="6"/>
        <w:keepNext w:val="0"/>
        <w:keepLines w:val="0"/>
        <w:adjustRightInd/>
        <w:snapToGrid/>
        <w:spacing w:before="0" w:after="0"/>
        <w:rPr>
          <w:rFonts w:ascii="黑体" w:hAnsi="黑体" w:eastAsia="黑体" w:cs="黑体"/>
          <w:sz w:val="30"/>
          <w:szCs w:val="30"/>
          <w:lang w:val="zh-CN"/>
        </w:rPr>
      </w:pPr>
      <w:bookmarkStart w:id="56" w:name="_Toc8066"/>
      <w:bookmarkStart w:id="57" w:name="_Toc23823"/>
      <w:bookmarkStart w:id="58" w:name="_Toc32649"/>
      <w:r>
        <w:rPr>
          <w:rFonts w:ascii="黑体" w:hAnsi="黑体" w:eastAsia="黑体" w:cs="黑体"/>
          <w:sz w:val="30"/>
          <w:szCs w:val="30"/>
          <w:lang w:val="zh-CN"/>
        </w:rPr>
        <w:t>（一）自评结果</w:t>
      </w:r>
      <w:bookmarkEnd w:id="56"/>
      <w:bookmarkEnd w:id="57"/>
      <w:bookmarkEnd w:id="58"/>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我单位通过对本项目调查研究、座谈、查阅相关资料，根据相关政策要求进行打分，最终项目自评价得分为</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lang w:val="zh-CN"/>
        </w:rPr>
        <w:t>分，评价结果为优。</w:t>
      </w:r>
    </w:p>
    <w:p>
      <w:pPr>
        <w:pStyle w:val="5"/>
        <w:keepNext w:val="0"/>
        <w:keepLines w:val="0"/>
        <w:numPr>
          <w:ilvl w:val="0"/>
          <w:numId w:val="1"/>
        </w:numPr>
        <w:spacing w:before="0" w:after="0" w:line="360" w:lineRule="auto"/>
        <w:rPr>
          <w:rFonts w:ascii="黑体" w:hAnsi="黑体" w:eastAsia="黑体" w:cs="黑体"/>
          <w:sz w:val="32"/>
          <w:szCs w:val="32"/>
          <w:lang w:val="zh-CN"/>
        </w:rPr>
      </w:pPr>
      <w:bookmarkStart w:id="59" w:name="_Toc29526"/>
      <w:bookmarkStart w:id="60" w:name="_Toc28680"/>
      <w:bookmarkStart w:id="61" w:name="_Toc11209"/>
      <w:r>
        <w:rPr>
          <w:rFonts w:ascii="黑体" w:hAnsi="黑体" w:eastAsia="黑体" w:cs="黑体"/>
          <w:sz w:val="32"/>
          <w:szCs w:val="32"/>
          <w:lang w:val="zh-CN"/>
        </w:rPr>
        <w:t>自评发现的问题及整改措施</w:t>
      </w:r>
      <w:bookmarkEnd w:id="59"/>
      <w:bookmarkEnd w:id="60"/>
      <w:bookmarkEnd w:id="61"/>
      <w:bookmarkStart w:id="62" w:name="_Toc17190"/>
      <w:bookmarkStart w:id="63" w:name="_Toc9511"/>
    </w:p>
    <w:bookmarkEnd w:id="62"/>
    <w:bookmarkEnd w:id="63"/>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lang w:val="zh-CN"/>
        </w:rPr>
        <w:t>发现的问题</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专项资金使用需进一步优化完善；绩效评价资料收集不够全面，主要是社会效益方面的资料不够全面，尽管诸多工作引起了不同范围内的社会关注和好评，但由于不注重收集或收集不及时，致使在评价过程中缺乏有说服力的证据。</w:t>
      </w:r>
    </w:p>
    <w:p>
      <w:pPr>
        <w:ind w:firstLine="640" w:firstLineChars="200"/>
        <w:rPr>
          <w:rFonts w:ascii="黑体" w:hAnsi="黑体" w:eastAsia="仿宋_GB2312" w:cs="黑体"/>
          <w:bCs/>
          <w:color w:val="000000"/>
          <w:sz w:val="30"/>
          <w:szCs w:val="30"/>
        </w:rPr>
      </w:pPr>
      <w:r>
        <w:rPr>
          <w:rFonts w:hint="eastAsia" w:ascii="仿宋_GB2312" w:hAnsi="仿宋_GB2312" w:eastAsia="仿宋_GB2312" w:cs="仿宋_GB2312"/>
          <w:sz w:val="32"/>
          <w:szCs w:val="32"/>
        </w:rPr>
        <w:t>整改措施：</w:t>
      </w:r>
      <w:r>
        <w:rPr>
          <w:rFonts w:ascii="仿宋_GB2312" w:hAnsi="仿宋_GB2312" w:eastAsia="仿宋_GB2312" w:cs="仿宋_GB2312"/>
          <w:sz w:val="32"/>
          <w:szCs w:val="32"/>
          <w:lang w:val="zh-CN"/>
        </w:rPr>
        <w:t>科学制定绩效目标，参照历史数据、行业标准、计划标准等数据资料，设置指向明确、细化量化、合理可行、相应匹配的绩效目标，</w:t>
      </w:r>
      <w:r>
        <w:rPr>
          <w:rFonts w:hint="eastAsia" w:ascii="仿宋_GB2312" w:hAnsi="仿宋_GB2312" w:eastAsia="仿宋_GB2312" w:cs="仿宋_GB2312"/>
          <w:sz w:val="32"/>
          <w:szCs w:val="32"/>
        </w:rPr>
        <w:t>加强执行过程中的材料留存，</w:t>
      </w:r>
    </w:p>
    <w:p>
      <w:pPr>
        <w:spacing w:line="360" w:lineRule="auto"/>
        <w:rPr>
          <w:rFonts w:ascii="仿宋_GB2312" w:hAnsi="仿宋_GB2312" w:eastAsia="仿宋_GB2312" w:cs="仿宋_GB2312"/>
          <w:sz w:val="32"/>
          <w:szCs w:val="32"/>
        </w:rPr>
      </w:pPr>
      <w:r>
        <w:rPr>
          <w:rFonts w:ascii="仿宋_GB2312" w:hAnsi="仿宋_GB2312" w:eastAsia="仿宋_GB2312" w:cs="仿宋_GB2312"/>
          <w:sz w:val="32"/>
          <w:szCs w:val="32"/>
          <w:lang w:val="zh-CN"/>
        </w:rPr>
        <w:t>为后期开展绩效监控和评价提供基础支撑</w:t>
      </w:r>
      <w:r>
        <w:rPr>
          <w:rFonts w:hint="eastAsia" w:ascii="仿宋_GB2312" w:hAnsi="仿宋_GB2312" w:eastAsia="仿宋_GB2312" w:cs="仿宋_GB2312"/>
          <w:sz w:val="32"/>
          <w:szCs w:val="32"/>
          <w:lang w:val="zh-CN"/>
        </w:rPr>
        <w:t>。</w:t>
      </w:r>
    </w:p>
    <w:p>
      <w:pPr>
        <w:pStyle w:val="5"/>
        <w:keepNext w:val="0"/>
        <w:keepLines w:val="0"/>
        <w:numPr>
          <w:ilvl w:val="0"/>
          <w:numId w:val="1"/>
        </w:numPr>
        <w:spacing w:before="0" w:after="0" w:line="360" w:lineRule="auto"/>
        <w:rPr>
          <w:rFonts w:ascii="黑体" w:hAnsi="黑体" w:eastAsia="黑体" w:cs="黑体"/>
          <w:sz w:val="32"/>
          <w:szCs w:val="32"/>
          <w:lang w:val="zh-CN"/>
        </w:rPr>
      </w:pPr>
      <w:bookmarkStart w:id="64" w:name="_Toc31923"/>
      <w:bookmarkStart w:id="65" w:name="_Toc19784"/>
      <w:bookmarkStart w:id="66" w:name="_Toc19358"/>
      <w:r>
        <w:rPr>
          <w:rFonts w:ascii="黑体" w:hAnsi="黑体" w:eastAsia="黑体" w:cs="黑体"/>
          <w:sz w:val="32"/>
          <w:szCs w:val="32"/>
          <w:lang w:val="zh-CN"/>
        </w:rPr>
        <w:t>绩效自评工作建议及预算安排建议</w:t>
      </w:r>
      <w:bookmarkEnd w:id="64"/>
      <w:bookmarkEnd w:id="65"/>
      <w:bookmarkEnd w:id="66"/>
    </w:p>
    <w:p>
      <w:pPr>
        <w:pStyle w:val="14"/>
        <w:widowControl/>
        <w:spacing w:beforeAutospacing="0" w:afterAutospacing="0"/>
        <w:ind w:firstLine="640" w:firstLineChars="200"/>
        <w:jc w:val="both"/>
        <w:rPr>
          <w:lang w:val="zh-CN"/>
        </w:rPr>
      </w:pPr>
      <w:r>
        <w:rPr>
          <w:rFonts w:hint="eastAsia" w:ascii="仿宋_GB2312" w:hAnsi="仿宋_GB2312" w:eastAsia="仿宋_GB2312" w:cs="仿宋_GB2312"/>
          <w:sz w:val="32"/>
          <w:szCs w:val="32"/>
        </w:rPr>
        <w:t>希望财政部门能组织开展预算绩效管理讲解，深入了解绩效上报工作的意义以及方式方法，更合理的安排资金用途。</w:t>
      </w:r>
    </w:p>
    <w:p>
      <w:pPr>
        <w:pStyle w:val="5"/>
        <w:keepNext w:val="0"/>
        <w:keepLines w:val="0"/>
        <w:numPr>
          <w:ilvl w:val="0"/>
          <w:numId w:val="2"/>
        </w:numPr>
        <w:spacing w:before="0" w:after="0" w:line="360" w:lineRule="auto"/>
        <w:rPr>
          <w:rFonts w:ascii="黑体" w:hAnsi="黑体" w:eastAsia="黑体" w:cs="黑体"/>
          <w:sz w:val="32"/>
          <w:szCs w:val="32"/>
          <w:lang w:val="zh-CN"/>
        </w:rPr>
      </w:pPr>
      <w:bookmarkStart w:id="67" w:name="_Toc6756"/>
      <w:bookmarkStart w:id="68" w:name="_Toc4014"/>
      <w:bookmarkStart w:id="69" w:name="_Toc21255"/>
      <w:r>
        <w:rPr>
          <w:rFonts w:ascii="黑体" w:hAnsi="黑体" w:eastAsia="黑体" w:cs="黑体"/>
          <w:sz w:val="32"/>
          <w:szCs w:val="32"/>
          <w:lang w:val="zh-CN"/>
        </w:rPr>
        <w:t>其他需要说明的问题</w:t>
      </w:r>
      <w:bookmarkEnd w:id="67"/>
      <w:bookmarkEnd w:id="68"/>
      <w:bookmarkEnd w:id="69"/>
    </w:p>
    <w:p>
      <w:pPr>
        <w:pStyle w:val="14"/>
        <w:widowControl/>
        <w:spacing w:beforeAutospacing="0" w:afterAutospacing="0"/>
        <w:ind w:firstLine="640" w:firstLineChars="200"/>
        <w:jc w:val="both"/>
        <w:rPr>
          <w:rFonts w:ascii="仿宋_GB2312" w:hAnsi="仿宋_GB2312" w:eastAsia="仿宋_GB2312" w:cs="仿宋_GB2312"/>
          <w:sz w:val="32"/>
          <w:szCs w:val="32"/>
        </w:rPr>
      </w:pPr>
      <w:bookmarkStart w:id="70" w:name="_Toc10246"/>
      <w:bookmarkStart w:id="71" w:name="_Toc32568"/>
      <w:bookmarkStart w:id="72" w:name="_Toc12413"/>
      <w:r>
        <w:rPr>
          <w:rFonts w:hint="eastAsia" w:ascii="仿宋_GB2312" w:hAnsi="仿宋_GB2312" w:eastAsia="仿宋_GB2312" w:cs="仿宋_GB2312"/>
          <w:sz w:val="32"/>
          <w:szCs w:val="32"/>
        </w:rPr>
        <w:t>需要说明的是：受多种因素影响，部分指标值难以考察取证</w:t>
      </w:r>
      <w:bookmarkEnd w:id="70"/>
      <w:bookmarkStart w:id="73" w:name="_Toc12241"/>
      <w:bookmarkStart w:id="74" w:name="_Toc7176"/>
      <w:r>
        <w:rPr>
          <w:rFonts w:hint="eastAsia" w:ascii="仿宋_GB2312" w:hAnsi="仿宋_GB2312" w:eastAsia="仿宋_GB2312" w:cs="仿宋_GB2312"/>
          <w:sz w:val="32"/>
          <w:szCs w:val="32"/>
        </w:rPr>
        <w:t>。</w:t>
      </w:r>
      <w:bookmarkEnd w:id="71"/>
      <w:bookmarkEnd w:id="72"/>
    </w:p>
    <w:p>
      <w:pPr>
        <w:pStyle w:val="5"/>
        <w:keepNext w:val="0"/>
        <w:keepLines w:val="0"/>
        <w:spacing w:before="0" w:after="0" w:line="360" w:lineRule="auto"/>
        <w:rPr>
          <w:rFonts w:ascii="黑体" w:hAnsi="黑体" w:eastAsia="黑体" w:cs="黑体"/>
          <w:sz w:val="32"/>
          <w:szCs w:val="32"/>
          <w:lang w:val="zh-CN"/>
        </w:rPr>
      </w:pPr>
      <w:bookmarkStart w:id="75" w:name="_Toc13948"/>
      <w:r>
        <w:rPr>
          <w:rFonts w:hint="eastAsia" w:ascii="黑体" w:hAnsi="黑体" w:eastAsia="黑体" w:cs="黑体"/>
          <w:sz w:val="32"/>
          <w:szCs w:val="32"/>
        </w:rPr>
        <w:t>七、</w:t>
      </w:r>
      <w:r>
        <w:rPr>
          <w:rFonts w:ascii="黑体" w:hAnsi="黑体" w:eastAsia="黑体" w:cs="黑体"/>
          <w:sz w:val="32"/>
          <w:szCs w:val="32"/>
          <w:lang w:val="zh-CN"/>
        </w:rPr>
        <w:t>附表：</w:t>
      </w:r>
      <w:r>
        <w:rPr>
          <w:rFonts w:hint="eastAsia" w:ascii="黑体" w:hAnsi="黑体" w:eastAsia="黑体" w:cs="黑体"/>
          <w:sz w:val="32"/>
          <w:szCs w:val="32"/>
          <w:lang w:val="zh-CN"/>
        </w:rPr>
        <w:t>项目绩效自评</w:t>
      </w:r>
      <w:bookmarkEnd w:id="73"/>
      <w:bookmarkEnd w:id="74"/>
      <w:bookmarkEnd w:id="75"/>
      <w:r>
        <w:rPr>
          <w:rFonts w:hint="eastAsia" w:ascii="黑体" w:hAnsi="黑体" w:eastAsia="黑体" w:cs="黑体"/>
          <w:sz w:val="32"/>
          <w:szCs w:val="32"/>
          <w:lang w:val="zh-CN"/>
        </w:rPr>
        <w:t xml:space="preserve"> </w:t>
      </w:r>
    </w:p>
    <w:p>
      <w:pPr>
        <w:spacing w:line="360" w:lineRule="auto"/>
        <w:ind w:firstLine="480" w:firstLineChars="200"/>
        <w:jc w:val="left"/>
        <w:rPr>
          <w:rFonts w:ascii="Times New Roman" w:hAnsi="Times New Roman" w:eastAsia="Times New Roman"/>
          <w:sz w:val="24"/>
        </w:rPr>
        <w:sectPr>
          <w:footerReference r:id="rId4" w:type="default"/>
          <w:pgSz w:w="11906" w:h="16838"/>
          <w:pgMar w:top="1440" w:right="1800" w:bottom="1440" w:left="1800" w:header="851" w:footer="992" w:gutter="0"/>
          <w:pgNumType w:fmt="numberInDash" w:start="1"/>
          <w:cols w:space="425" w:num="1"/>
          <w:docGrid w:type="lines" w:linePitch="312" w:charSpace="0"/>
        </w:sectPr>
      </w:pPr>
    </w:p>
    <w:tbl>
      <w:tblPr>
        <w:tblStyle w:val="15"/>
        <w:tblW w:w="13728" w:type="dxa"/>
        <w:tblInd w:w="96" w:type="dxa"/>
        <w:tblLayout w:type="fixed"/>
        <w:tblCellMar>
          <w:top w:w="0" w:type="dxa"/>
          <w:left w:w="108" w:type="dxa"/>
          <w:bottom w:w="0" w:type="dxa"/>
          <w:right w:w="108" w:type="dxa"/>
        </w:tblCellMar>
      </w:tblPr>
      <w:tblGrid>
        <w:gridCol w:w="971"/>
        <w:gridCol w:w="1051"/>
        <w:gridCol w:w="1331"/>
        <w:gridCol w:w="533"/>
        <w:gridCol w:w="1572"/>
        <w:gridCol w:w="278"/>
        <w:gridCol w:w="1304"/>
        <w:gridCol w:w="1429"/>
        <w:gridCol w:w="399"/>
        <w:gridCol w:w="972"/>
        <w:gridCol w:w="972"/>
        <w:gridCol w:w="972"/>
        <w:gridCol w:w="972"/>
        <w:gridCol w:w="972"/>
      </w:tblGrid>
      <w:tr>
        <w:tblPrEx>
          <w:tblCellMar>
            <w:top w:w="0" w:type="dxa"/>
            <w:left w:w="108" w:type="dxa"/>
            <w:bottom w:w="0" w:type="dxa"/>
            <w:right w:w="108" w:type="dxa"/>
          </w:tblCellMar>
        </w:tblPrEx>
        <w:trPr>
          <w:trHeight w:val="288" w:hRule="atLeast"/>
        </w:trPr>
        <w:tc>
          <w:tcPr>
            <w:tcW w:w="13728" w:type="dxa"/>
            <w:gridSpan w:val="14"/>
            <w:tcBorders>
              <w:top w:val="nil"/>
              <w:left w:val="nil"/>
              <w:bottom w:val="nil"/>
              <w:right w:val="nil"/>
            </w:tcBorders>
            <w:shd w:val="clear" w:color="auto" w:fill="auto"/>
            <w:vAlign w:val="center"/>
          </w:tcPr>
          <w:p>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36"/>
                <w:szCs w:val="36"/>
                <w:lang w:bidi="ar"/>
              </w:rPr>
              <w:t>项目单位自评表</w:t>
            </w:r>
          </w:p>
        </w:tc>
      </w:tr>
      <w:tr>
        <w:tblPrEx>
          <w:tblCellMar>
            <w:top w:w="0" w:type="dxa"/>
            <w:left w:w="108" w:type="dxa"/>
            <w:bottom w:w="0" w:type="dxa"/>
            <w:right w:w="108" w:type="dxa"/>
          </w:tblCellMar>
        </w:tblPrEx>
        <w:trPr>
          <w:trHeight w:val="288" w:hRule="atLeast"/>
        </w:trPr>
        <w:tc>
          <w:tcPr>
            <w:tcW w:w="13728" w:type="dxa"/>
            <w:gridSpan w:val="14"/>
            <w:tcBorders>
              <w:top w:val="nil"/>
              <w:left w:val="nil"/>
              <w:bottom w:val="nil"/>
              <w:right w:val="nil"/>
            </w:tcBorders>
            <w:shd w:val="clear" w:color="auto" w:fill="auto"/>
          </w:tcPr>
          <w:p>
            <w:pPr>
              <w:widowControl/>
              <w:jc w:val="center"/>
              <w:textAlignment w:val="top"/>
              <w:rPr>
                <w:rFonts w:ascii="仿宋" w:hAnsi="仿宋" w:eastAsia="仿宋" w:cs="仿宋"/>
                <w:color w:val="000000"/>
                <w:sz w:val="24"/>
              </w:rPr>
            </w:pPr>
            <w:r>
              <w:rPr>
                <w:rFonts w:hint="eastAsia" w:ascii="仿宋" w:hAnsi="仿宋" w:eastAsia="仿宋" w:cs="仿宋"/>
                <w:color w:val="000000"/>
                <w:kern w:val="0"/>
                <w:sz w:val="24"/>
                <w:lang w:bidi="ar"/>
              </w:rPr>
              <w:t>（2020年度）</w:t>
            </w:r>
          </w:p>
        </w:tc>
      </w:tr>
      <w:tr>
        <w:tblPrEx>
          <w:tblCellMar>
            <w:top w:w="0" w:type="dxa"/>
            <w:left w:w="108" w:type="dxa"/>
            <w:bottom w:w="0" w:type="dxa"/>
            <w:right w:w="108" w:type="dxa"/>
          </w:tblCellMar>
        </w:tblPrEx>
        <w:trPr>
          <w:trHeight w:val="288" w:hRule="atLeast"/>
        </w:trPr>
        <w:tc>
          <w:tcPr>
            <w:tcW w:w="13728" w:type="dxa"/>
            <w:gridSpan w:val="14"/>
            <w:tcBorders>
              <w:top w:val="nil"/>
              <w:left w:val="nil"/>
              <w:bottom w:val="nil"/>
              <w:right w:val="nil"/>
            </w:tcBorders>
            <w:shd w:val="clear" w:color="auto" w:fill="auto"/>
          </w:tcPr>
          <w:p>
            <w:pPr>
              <w:widowControl/>
              <w:jc w:val="center"/>
              <w:textAlignment w:val="top"/>
              <w:rPr>
                <w:rFonts w:ascii="仿宋" w:hAnsi="仿宋" w:eastAsia="仿宋" w:cs="仿宋"/>
                <w:color w:val="000000"/>
                <w:sz w:val="24"/>
              </w:rPr>
            </w:pPr>
          </w:p>
        </w:tc>
      </w:tr>
      <w:tr>
        <w:tblPrEx>
          <w:tblCellMar>
            <w:top w:w="0" w:type="dxa"/>
            <w:left w:w="108" w:type="dxa"/>
            <w:bottom w:w="0" w:type="dxa"/>
            <w:right w:w="108" w:type="dxa"/>
          </w:tblCellMar>
        </w:tblPrEx>
        <w:trPr>
          <w:trHeight w:val="288" w:hRule="atLeast"/>
        </w:trPr>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项目名称</w:t>
            </w:r>
          </w:p>
        </w:tc>
        <w:tc>
          <w:tcPr>
            <w:tcW w:w="1170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会议费</w:t>
            </w:r>
          </w:p>
        </w:tc>
      </w:tr>
      <w:tr>
        <w:tblPrEx>
          <w:tblCellMar>
            <w:top w:w="0" w:type="dxa"/>
            <w:left w:w="108" w:type="dxa"/>
            <w:bottom w:w="0" w:type="dxa"/>
            <w:right w:w="108" w:type="dxa"/>
          </w:tblCellMar>
        </w:tblPrEx>
        <w:trPr>
          <w:trHeight w:val="288" w:hRule="atLeast"/>
        </w:trPr>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主管部门</w:t>
            </w:r>
          </w:p>
        </w:tc>
        <w:tc>
          <w:tcPr>
            <w:tcW w:w="50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三门峡市市场监督管理局</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实施单位</w:t>
            </w:r>
          </w:p>
        </w:tc>
        <w:tc>
          <w:tcPr>
            <w:tcW w:w="48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三门峡市市场监督管理局</w:t>
            </w:r>
          </w:p>
        </w:tc>
      </w:tr>
      <w:tr>
        <w:tblPrEx>
          <w:tblCellMar>
            <w:top w:w="0" w:type="dxa"/>
            <w:left w:w="108" w:type="dxa"/>
            <w:bottom w:w="0" w:type="dxa"/>
            <w:right w:w="108" w:type="dxa"/>
          </w:tblCellMar>
        </w:tblPrEx>
        <w:trPr>
          <w:trHeight w:val="576" w:hRule="atLeast"/>
        </w:trPr>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项目资金</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年初预算数</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全年预算数</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全年执行数</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分值</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执行率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得分</w:t>
            </w:r>
          </w:p>
        </w:tc>
      </w:tr>
      <w:tr>
        <w:tblPrEx>
          <w:tblCellMar>
            <w:top w:w="0" w:type="dxa"/>
            <w:left w:w="108" w:type="dxa"/>
            <w:bottom w:w="0" w:type="dxa"/>
            <w:right w:w="108" w:type="dxa"/>
          </w:tblCellMar>
        </w:tblPrEx>
        <w:trPr>
          <w:trHeight w:val="288" w:hRule="atLeast"/>
        </w:trPr>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（万元）</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 w:hAnsi="仿宋" w:eastAsia="仿宋" w:cs="仿宋"/>
                <w:color w:val="000000"/>
                <w:sz w:val="24"/>
              </w:rPr>
            </w:pPr>
            <w:r>
              <w:rPr>
                <w:rFonts w:hint="eastAsia" w:ascii="仿宋" w:hAnsi="仿宋" w:eastAsia="仿宋" w:cs="仿宋"/>
                <w:color w:val="000000"/>
                <w:kern w:val="0"/>
                <w:sz w:val="24"/>
                <w:lang w:bidi="ar"/>
              </w:rPr>
              <w:t>年度资金总额</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r>
      <w:tr>
        <w:tblPrEx>
          <w:tblCellMar>
            <w:top w:w="0" w:type="dxa"/>
            <w:left w:w="108" w:type="dxa"/>
            <w:bottom w:w="0" w:type="dxa"/>
            <w:right w:w="108" w:type="dxa"/>
          </w:tblCellMar>
        </w:tblPrEx>
        <w:trPr>
          <w:trHeight w:val="288" w:hRule="atLeast"/>
        </w:trPr>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4"/>
              </w:rPr>
            </w:pP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其中：当年财政拨款</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w:t>
            </w:r>
          </w:p>
        </w:tc>
      </w:tr>
      <w:tr>
        <w:tblPrEx>
          <w:tblCellMar>
            <w:top w:w="0" w:type="dxa"/>
            <w:left w:w="108" w:type="dxa"/>
            <w:bottom w:w="0" w:type="dxa"/>
            <w:right w:w="108" w:type="dxa"/>
          </w:tblCellMar>
        </w:tblPrEx>
        <w:trPr>
          <w:trHeight w:val="288" w:hRule="atLeast"/>
        </w:trPr>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4"/>
              </w:rPr>
            </w:pP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 xml:space="preserve">  其他资金</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w:t>
            </w:r>
          </w:p>
        </w:tc>
      </w:tr>
      <w:tr>
        <w:tblPrEx>
          <w:tblCellMar>
            <w:top w:w="0" w:type="dxa"/>
            <w:left w:w="108" w:type="dxa"/>
            <w:bottom w:w="0" w:type="dxa"/>
            <w:right w:w="108" w:type="dxa"/>
          </w:tblCellMar>
        </w:tblPrEx>
        <w:trPr>
          <w:trHeight w:val="36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年度总体目标</w:t>
            </w:r>
          </w:p>
        </w:tc>
        <w:tc>
          <w:tcPr>
            <w:tcW w:w="60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预期目标</w:t>
            </w:r>
          </w:p>
        </w:tc>
        <w:tc>
          <w:tcPr>
            <w:tcW w:w="66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实际完成情况</w:t>
            </w:r>
          </w:p>
        </w:tc>
      </w:tr>
      <w:tr>
        <w:tblPrEx>
          <w:tblCellMar>
            <w:top w:w="0" w:type="dxa"/>
            <w:left w:w="108" w:type="dxa"/>
            <w:bottom w:w="0" w:type="dxa"/>
            <w:right w:w="108" w:type="dxa"/>
          </w:tblCellMar>
        </w:tblPrEx>
        <w:trPr>
          <w:trHeight w:val="102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60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贯彻落实上级文件精神，召开三门峡市市场监督管理局各项重大会议，组织各项重大活动等提供经费保障。</w:t>
            </w:r>
          </w:p>
        </w:tc>
        <w:tc>
          <w:tcPr>
            <w:tcW w:w="66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贯彻落实上级文件精神，召开三门峡市市场监督管理局各项重大会议，组织各项重大活动等提供经费保障。</w:t>
            </w:r>
          </w:p>
        </w:tc>
      </w:tr>
      <w:tr>
        <w:tblPrEx>
          <w:tblCellMar>
            <w:top w:w="0" w:type="dxa"/>
            <w:left w:w="108" w:type="dxa"/>
            <w:bottom w:w="0" w:type="dxa"/>
            <w:right w:w="108" w:type="dxa"/>
          </w:tblCellMar>
        </w:tblPrEx>
        <w:trPr>
          <w:trHeight w:val="72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绩效指标</w:t>
            </w:r>
          </w:p>
        </w:tc>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一级指标</w:t>
            </w:r>
          </w:p>
        </w:tc>
        <w:tc>
          <w:tcPr>
            <w:tcW w:w="1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二级指标</w:t>
            </w:r>
          </w:p>
        </w:tc>
        <w:tc>
          <w:tcPr>
            <w:tcW w:w="23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三级指标</w:t>
            </w:r>
          </w:p>
        </w:tc>
        <w:tc>
          <w:tcPr>
            <w:tcW w:w="13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年度指标值</w:t>
            </w:r>
          </w:p>
        </w:tc>
        <w:tc>
          <w:tcPr>
            <w:tcW w:w="14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实际完成值</w:t>
            </w:r>
          </w:p>
        </w:tc>
        <w:tc>
          <w:tcPr>
            <w:tcW w:w="13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分值</w:t>
            </w:r>
          </w:p>
        </w:tc>
        <w:tc>
          <w:tcPr>
            <w:tcW w:w="19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得分</w:t>
            </w:r>
          </w:p>
        </w:tc>
        <w:tc>
          <w:tcPr>
            <w:tcW w:w="19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偏差原因分析及改进措施</w:t>
            </w:r>
          </w:p>
        </w:tc>
      </w:tr>
      <w:tr>
        <w:tblPrEx>
          <w:tblCellMar>
            <w:top w:w="0" w:type="dxa"/>
            <w:left w:w="108" w:type="dxa"/>
            <w:bottom w:w="0" w:type="dxa"/>
            <w:right w:w="108" w:type="dxa"/>
          </w:tblCellMar>
        </w:tblPrEx>
        <w:trPr>
          <w:trHeight w:val="312"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23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546"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产出指标</w:t>
            </w:r>
          </w:p>
        </w:tc>
        <w:tc>
          <w:tcPr>
            <w:tcW w:w="1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数量指标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举办全系统年度工作会议</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3次</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3次</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502"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举办综合业务工作会议</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5次</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5次</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672"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举办市场监管业务工作会议</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10次</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10次</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7</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556"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质量指标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参会人员出勤率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≥95%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534"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严格执行会议费管理办法</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严格执行</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严格执行</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556"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时效指标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完成时限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11月底前</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11月底前</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12</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233"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效益指标</w:t>
            </w:r>
          </w:p>
        </w:tc>
        <w:tc>
          <w:tcPr>
            <w:tcW w:w="1331"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社会效益</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与相关部门沟通协调渠道</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畅通</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畅通</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53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上级文件宣贯率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≥95%</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707"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4"/>
              </w:rPr>
            </w:pPr>
          </w:p>
        </w:tc>
        <w:tc>
          <w:tcPr>
            <w:tcW w:w="133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可持续影响指标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建立长效管理机制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建立完善</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建立完善</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8</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423"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c>
          <w:tcPr>
            <w:tcW w:w="105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满意度指标</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服务对象满意度指标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参会人员满意度</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≥90%</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90%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384" w:hRule="atLeast"/>
        </w:trPr>
        <w:tc>
          <w:tcPr>
            <w:tcW w:w="846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总分</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96</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4"/>
              </w:rPr>
            </w:pPr>
          </w:p>
        </w:tc>
      </w:tr>
      <w:tr>
        <w:tblPrEx>
          <w:tblCellMar>
            <w:top w:w="0" w:type="dxa"/>
            <w:left w:w="108" w:type="dxa"/>
            <w:bottom w:w="0" w:type="dxa"/>
            <w:right w:w="108" w:type="dxa"/>
          </w:tblCellMar>
        </w:tblPrEx>
        <w:trPr>
          <w:trHeight w:val="312" w:hRule="atLeast"/>
        </w:trPr>
        <w:tc>
          <w:tcPr>
            <w:tcW w:w="13728" w:type="dxa"/>
            <w:gridSpan w:val="14"/>
            <w:vMerge w:val="restart"/>
            <w:tcBorders>
              <w:top w:val="nil"/>
              <w:left w:val="nil"/>
              <w:bottom w:val="nil"/>
              <w:right w:val="nil"/>
            </w:tcBorders>
            <w:shd w:val="clear" w:color="auto" w:fill="auto"/>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注：1.绩效自评采取打分评价的形式，满分为100分，各部门（单位）可根据指标的重要程度自主确定各项三级指标的权重分值，各项指标得分加总得出该项目绩效自评的总分。原则上一级指标分值统一设置为：产出指标50分、效益指标30分、服务对象满意度10分、预算资金执行率10分。如有特殊情况，除预算资金执行率外，其他指标权重可作适当调整，但总分应为100分。各项三级指标得分最高不能超过该指标分值上限。2.偏差原因分析及改进措施：说明偏离目标、不能完成目标的原因及拟采取的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tblCellMar>
            <w:top w:w="0" w:type="dxa"/>
            <w:left w:w="108" w:type="dxa"/>
            <w:bottom w:w="0" w:type="dxa"/>
            <w:right w:w="108" w:type="dxa"/>
          </w:tblCellMar>
        </w:tblPrEx>
        <w:trPr>
          <w:trHeight w:val="312" w:hRule="atLeast"/>
        </w:trPr>
        <w:tc>
          <w:tcPr>
            <w:tcW w:w="13728" w:type="dxa"/>
            <w:gridSpan w:val="14"/>
            <w:vMerge w:val="continue"/>
            <w:tcBorders>
              <w:top w:val="nil"/>
              <w:left w:val="nil"/>
              <w:bottom w:val="nil"/>
              <w:right w:val="nil"/>
            </w:tcBorders>
            <w:shd w:val="clear" w:color="auto" w:fill="auto"/>
            <w:vAlign w:val="center"/>
          </w:tcPr>
          <w:p>
            <w:pPr>
              <w:jc w:val="center"/>
              <w:rPr>
                <w:rFonts w:ascii="仿宋" w:hAnsi="仿宋" w:eastAsia="仿宋" w:cs="仿宋"/>
                <w:color w:val="000000"/>
                <w:sz w:val="24"/>
              </w:rPr>
            </w:pPr>
          </w:p>
        </w:tc>
      </w:tr>
      <w:tr>
        <w:tblPrEx>
          <w:tblCellMar>
            <w:top w:w="0" w:type="dxa"/>
            <w:left w:w="108" w:type="dxa"/>
            <w:bottom w:w="0" w:type="dxa"/>
            <w:right w:w="108" w:type="dxa"/>
          </w:tblCellMar>
        </w:tblPrEx>
        <w:trPr>
          <w:trHeight w:val="880" w:hRule="atLeast"/>
        </w:trPr>
        <w:tc>
          <w:tcPr>
            <w:tcW w:w="13728" w:type="dxa"/>
            <w:gridSpan w:val="14"/>
            <w:vMerge w:val="continue"/>
            <w:tcBorders>
              <w:top w:val="nil"/>
              <w:left w:val="nil"/>
              <w:bottom w:val="nil"/>
              <w:right w:val="nil"/>
            </w:tcBorders>
            <w:shd w:val="clear" w:color="auto" w:fill="auto"/>
            <w:vAlign w:val="center"/>
          </w:tcPr>
          <w:p>
            <w:pPr>
              <w:jc w:val="center"/>
              <w:rPr>
                <w:rFonts w:ascii="仿宋" w:hAnsi="仿宋" w:eastAsia="仿宋" w:cs="仿宋"/>
                <w:color w:val="000000"/>
                <w:sz w:val="24"/>
              </w:rPr>
            </w:pPr>
          </w:p>
        </w:tc>
      </w:tr>
    </w:tbl>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4B2E0"/>
    <w:multiLevelType w:val="singleLevel"/>
    <w:tmpl w:val="C784B2E0"/>
    <w:lvl w:ilvl="0" w:tentative="0">
      <w:start w:val="4"/>
      <w:numFmt w:val="chineseCounting"/>
      <w:suff w:val="nothing"/>
      <w:lvlText w:val="%1、"/>
      <w:lvlJc w:val="left"/>
      <w:rPr>
        <w:rFonts w:hint="eastAsia"/>
      </w:rPr>
    </w:lvl>
  </w:abstractNum>
  <w:abstractNum w:abstractNumId="1">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mYTUyY2Y1MDJiZjIyYjdiMjQzMDFmYzRiYmU4MWIifQ=="/>
  </w:docVars>
  <w:rsids>
    <w:rsidRoot w:val="00172A27"/>
    <w:rsid w:val="00172A27"/>
    <w:rsid w:val="003E421A"/>
    <w:rsid w:val="0055721E"/>
    <w:rsid w:val="006225BA"/>
    <w:rsid w:val="0066530E"/>
    <w:rsid w:val="00B23CEC"/>
    <w:rsid w:val="00D403CC"/>
    <w:rsid w:val="01CD24AB"/>
    <w:rsid w:val="01D11DD0"/>
    <w:rsid w:val="03687896"/>
    <w:rsid w:val="03A74472"/>
    <w:rsid w:val="03CF39B3"/>
    <w:rsid w:val="03E3527A"/>
    <w:rsid w:val="03FB180A"/>
    <w:rsid w:val="0475434D"/>
    <w:rsid w:val="04E85A96"/>
    <w:rsid w:val="05310285"/>
    <w:rsid w:val="05E94B02"/>
    <w:rsid w:val="06022C39"/>
    <w:rsid w:val="06241739"/>
    <w:rsid w:val="06403200"/>
    <w:rsid w:val="067D4911"/>
    <w:rsid w:val="06CD2CAD"/>
    <w:rsid w:val="06D44DB6"/>
    <w:rsid w:val="073C001E"/>
    <w:rsid w:val="076D7ABD"/>
    <w:rsid w:val="07EC720E"/>
    <w:rsid w:val="09517008"/>
    <w:rsid w:val="09520821"/>
    <w:rsid w:val="0B0A783A"/>
    <w:rsid w:val="0B714783"/>
    <w:rsid w:val="0BA212E3"/>
    <w:rsid w:val="0BDB688F"/>
    <w:rsid w:val="0C1D2D9B"/>
    <w:rsid w:val="0C2B3B54"/>
    <w:rsid w:val="0D5B101A"/>
    <w:rsid w:val="0DAC117D"/>
    <w:rsid w:val="0DC63D28"/>
    <w:rsid w:val="0E00771B"/>
    <w:rsid w:val="0E243570"/>
    <w:rsid w:val="0EDC6DE7"/>
    <w:rsid w:val="0EF760A8"/>
    <w:rsid w:val="0F0A5349"/>
    <w:rsid w:val="0F386323"/>
    <w:rsid w:val="0F6F63F3"/>
    <w:rsid w:val="100C1C87"/>
    <w:rsid w:val="102A6D5E"/>
    <w:rsid w:val="10403E70"/>
    <w:rsid w:val="10A71863"/>
    <w:rsid w:val="11181DA8"/>
    <w:rsid w:val="114558BD"/>
    <w:rsid w:val="11BE372B"/>
    <w:rsid w:val="11D94FBF"/>
    <w:rsid w:val="11DF7AA5"/>
    <w:rsid w:val="11EC2F93"/>
    <w:rsid w:val="121E4775"/>
    <w:rsid w:val="13326DFA"/>
    <w:rsid w:val="13663A30"/>
    <w:rsid w:val="13A84A9A"/>
    <w:rsid w:val="13C60661"/>
    <w:rsid w:val="14135BEE"/>
    <w:rsid w:val="142A71C6"/>
    <w:rsid w:val="143049A4"/>
    <w:rsid w:val="14AC70A9"/>
    <w:rsid w:val="14BD44C7"/>
    <w:rsid w:val="14DE3D76"/>
    <w:rsid w:val="1512287B"/>
    <w:rsid w:val="155B3210"/>
    <w:rsid w:val="15C00483"/>
    <w:rsid w:val="15C71E5A"/>
    <w:rsid w:val="15EB0E81"/>
    <w:rsid w:val="15F135FB"/>
    <w:rsid w:val="16A86570"/>
    <w:rsid w:val="16AE72D0"/>
    <w:rsid w:val="178B4BED"/>
    <w:rsid w:val="17A009E3"/>
    <w:rsid w:val="18074165"/>
    <w:rsid w:val="18180FA8"/>
    <w:rsid w:val="18570359"/>
    <w:rsid w:val="186944EF"/>
    <w:rsid w:val="19357C12"/>
    <w:rsid w:val="196138D2"/>
    <w:rsid w:val="19953697"/>
    <w:rsid w:val="19BA43E3"/>
    <w:rsid w:val="1A26103C"/>
    <w:rsid w:val="1A4450BF"/>
    <w:rsid w:val="1AC12C79"/>
    <w:rsid w:val="1AF11A8C"/>
    <w:rsid w:val="1B7911A5"/>
    <w:rsid w:val="1B8B0E1E"/>
    <w:rsid w:val="1BFD0F60"/>
    <w:rsid w:val="1C29383C"/>
    <w:rsid w:val="1C48271E"/>
    <w:rsid w:val="1D47313A"/>
    <w:rsid w:val="1D676463"/>
    <w:rsid w:val="1DC41A36"/>
    <w:rsid w:val="1DFC4D2D"/>
    <w:rsid w:val="1E216956"/>
    <w:rsid w:val="1E7C7AF5"/>
    <w:rsid w:val="1EA51E7C"/>
    <w:rsid w:val="1EC01BD4"/>
    <w:rsid w:val="1F3A1FDC"/>
    <w:rsid w:val="1F6E60BF"/>
    <w:rsid w:val="1FA65F70"/>
    <w:rsid w:val="1FE75D69"/>
    <w:rsid w:val="1FFB2D1C"/>
    <w:rsid w:val="205A2D1D"/>
    <w:rsid w:val="20E32BEF"/>
    <w:rsid w:val="212C46B1"/>
    <w:rsid w:val="21ED3453"/>
    <w:rsid w:val="21EE6A3C"/>
    <w:rsid w:val="22715B15"/>
    <w:rsid w:val="22D26806"/>
    <w:rsid w:val="23AC70BE"/>
    <w:rsid w:val="24033141"/>
    <w:rsid w:val="250C6C99"/>
    <w:rsid w:val="25795502"/>
    <w:rsid w:val="25AB5C72"/>
    <w:rsid w:val="266D3B8D"/>
    <w:rsid w:val="2673135B"/>
    <w:rsid w:val="274970C1"/>
    <w:rsid w:val="288C42DB"/>
    <w:rsid w:val="2B147896"/>
    <w:rsid w:val="2B25139B"/>
    <w:rsid w:val="2B424556"/>
    <w:rsid w:val="2C4D64FB"/>
    <w:rsid w:val="2CAE71E2"/>
    <w:rsid w:val="2CC11655"/>
    <w:rsid w:val="2CF66F3B"/>
    <w:rsid w:val="2D493874"/>
    <w:rsid w:val="2D96497A"/>
    <w:rsid w:val="2DFC3ABA"/>
    <w:rsid w:val="2E3B1D53"/>
    <w:rsid w:val="2E874CFC"/>
    <w:rsid w:val="2ED70AD7"/>
    <w:rsid w:val="2F4D5996"/>
    <w:rsid w:val="2F7A178E"/>
    <w:rsid w:val="2FDE5397"/>
    <w:rsid w:val="2FE87747"/>
    <w:rsid w:val="30593884"/>
    <w:rsid w:val="308527DF"/>
    <w:rsid w:val="3088385B"/>
    <w:rsid w:val="30B9326C"/>
    <w:rsid w:val="318B0952"/>
    <w:rsid w:val="31DF7CC7"/>
    <w:rsid w:val="31FD63AA"/>
    <w:rsid w:val="3229235E"/>
    <w:rsid w:val="3229411A"/>
    <w:rsid w:val="322D471F"/>
    <w:rsid w:val="32870C13"/>
    <w:rsid w:val="32C318DF"/>
    <w:rsid w:val="33481B81"/>
    <w:rsid w:val="335509C7"/>
    <w:rsid w:val="343F6883"/>
    <w:rsid w:val="34801387"/>
    <w:rsid w:val="35323F4D"/>
    <w:rsid w:val="35F5341F"/>
    <w:rsid w:val="35F569F1"/>
    <w:rsid w:val="364D7507"/>
    <w:rsid w:val="36853699"/>
    <w:rsid w:val="36F95D7D"/>
    <w:rsid w:val="37113F81"/>
    <w:rsid w:val="383E476D"/>
    <w:rsid w:val="38587408"/>
    <w:rsid w:val="38774D48"/>
    <w:rsid w:val="38CC5ED8"/>
    <w:rsid w:val="3902565F"/>
    <w:rsid w:val="39694146"/>
    <w:rsid w:val="3A0E518D"/>
    <w:rsid w:val="3B70590B"/>
    <w:rsid w:val="3B837370"/>
    <w:rsid w:val="3B8E0BEC"/>
    <w:rsid w:val="3C1259C9"/>
    <w:rsid w:val="3C21355B"/>
    <w:rsid w:val="3C9B0FCA"/>
    <w:rsid w:val="3D162FD9"/>
    <w:rsid w:val="3D606B02"/>
    <w:rsid w:val="3DB053D5"/>
    <w:rsid w:val="3DBB4886"/>
    <w:rsid w:val="3DEA26E4"/>
    <w:rsid w:val="3E873D85"/>
    <w:rsid w:val="3EE01EF4"/>
    <w:rsid w:val="3FC65CE4"/>
    <w:rsid w:val="3FFD4C51"/>
    <w:rsid w:val="404D4025"/>
    <w:rsid w:val="40F2114B"/>
    <w:rsid w:val="4162246E"/>
    <w:rsid w:val="419E0086"/>
    <w:rsid w:val="41B94BAA"/>
    <w:rsid w:val="41B94E6B"/>
    <w:rsid w:val="41BA54AD"/>
    <w:rsid w:val="41DA5F81"/>
    <w:rsid w:val="426274DE"/>
    <w:rsid w:val="438F1213"/>
    <w:rsid w:val="43EF7CB6"/>
    <w:rsid w:val="441214EF"/>
    <w:rsid w:val="44A76620"/>
    <w:rsid w:val="44C9039D"/>
    <w:rsid w:val="45A21C1C"/>
    <w:rsid w:val="45DB5816"/>
    <w:rsid w:val="463955F5"/>
    <w:rsid w:val="467F19D6"/>
    <w:rsid w:val="46F53775"/>
    <w:rsid w:val="470B471F"/>
    <w:rsid w:val="47237B65"/>
    <w:rsid w:val="475C1AA9"/>
    <w:rsid w:val="47AC6349"/>
    <w:rsid w:val="47B41DDF"/>
    <w:rsid w:val="47B9772E"/>
    <w:rsid w:val="47EA4F22"/>
    <w:rsid w:val="48316427"/>
    <w:rsid w:val="487A1FC6"/>
    <w:rsid w:val="491C4AEB"/>
    <w:rsid w:val="492B5C25"/>
    <w:rsid w:val="49395B00"/>
    <w:rsid w:val="49552C52"/>
    <w:rsid w:val="496C68DE"/>
    <w:rsid w:val="49936CF0"/>
    <w:rsid w:val="4A257AB1"/>
    <w:rsid w:val="4A5C7F26"/>
    <w:rsid w:val="4ABA4758"/>
    <w:rsid w:val="4AFF07C1"/>
    <w:rsid w:val="4C2B3CBB"/>
    <w:rsid w:val="4D656886"/>
    <w:rsid w:val="4DCD728F"/>
    <w:rsid w:val="4DD80CC7"/>
    <w:rsid w:val="4E1229E8"/>
    <w:rsid w:val="4EE84F7D"/>
    <w:rsid w:val="4F261EF2"/>
    <w:rsid w:val="4F3F1FEB"/>
    <w:rsid w:val="502C3A4E"/>
    <w:rsid w:val="508005C7"/>
    <w:rsid w:val="50963008"/>
    <w:rsid w:val="50D26009"/>
    <w:rsid w:val="50F46C1A"/>
    <w:rsid w:val="51082C57"/>
    <w:rsid w:val="512F199A"/>
    <w:rsid w:val="515E556F"/>
    <w:rsid w:val="51CE5D14"/>
    <w:rsid w:val="521774C0"/>
    <w:rsid w:val="523F7E77"/>
    <w:rsid w:val="526A022B"/>
    <w:rsid w:val="52942ED4"/>
    <w:rsid w:val="52FE679A"/>
    <w:rsid w:val="53635160"/>
    <w:rsid w:val="536A61D2"/>
    <w:rsid w:val="53F02BBD"/>
    <w:rsid w:val="54087C43"/>
    <w:rsid w:val="54151AB3"/>
    <w:rsid w:val="547C2982"/>
    <w:rsid w:val="54BB1A98"/>
    <w:rsid w:val="54D12A5B"/>
    <w:rsid w:val="553A3D22"/>
    <w:rsid w:val="553D7376"/>
    <w:rsid w:val="555C7E27"/>
    <w:rsid w:val="56EA0736"/>
    <w:rsid w:val="56F72425"/>
    <w:rsid w:val="56F94133"/>
    <w:rsid w:val="570730E6"/>
    <w:rsid w:val="573D02BD"/>
    <w:rsid w:val="57546843"/>
    <w:rsid w:val="57D22477"/>
    <w:rsid w:val="581B3AC4"/>
    <w:rsid w:val="58270281"/>
    <w:rsid w:val="58836238"/>
    <w:rsid w:val="589247BF"/>
    <w:rsid w:val="58BF2BBA"/>
    <w:rsid w:val="58C3256A"/>
    <w:rsid w:val="58C656AA"/>
    <w:rsid w:val="58C80F7B"/>
    <w:rsid w:val="58E24971"/>
    <w:rsid w:val="59964EC4"/>
    <w:rsid w:val="59CA1E32"/>
    <w:rsid w:val="5A9D143D"/>
    <w:rsid w:val="5AE66300"/>
    <w:rsid w:val="5BBA585B"/>
    <w:rsid w:val="5BF472B6"/>
    <w:rsid w:val="5C9E6E6F"/>
    <w:rsid w:val="5CB8246C"/>
    <w:rsid w:val="5CC9121A"/>
    <w:rsid w:val="5CF32535"/>
    <w:rsid w:val="5D2A03F6"/>
    <w:rsid w:val="5DAE6520"/>
    <w:rsid w:val="5DB30328"/>
    <w:rsid w:val="5DCF0D9F"/>
    <w:rsid w:val="5E250CB8"/>
    <w:rsid w:val="5E370097"/>
    <w:rsid w:val="5E3D49B5"/>
    <w:rsid w:val="5E6922B4"/>
    <w:rsid w:val="5E9667BD"/>
    <w:rsid w:val="5EAB68AB"/>
    <w:rsid w:val="5EF73BE2"/>
    <w:rsid w:val="5F3D3065"/>
    <w:rsid w:val="608A1152"/>
    <w:rsid w:val="608B20EF"/>
    <w:rsid w:val="60967BC8"/>
    <w:rsid w:val="609D521D"/>
    <w:rsid w:val="61382481"/>
    <w:rsid w:val="61BF196A"/>
    <w:rsid w:val="61F11689"/>
    <w:rsid w:val="61F873E4"/>
    <w:rsid w:val="62600656"/>
    <w:rsid w:val="62A44963"/>
    <w:rsid w:val="631349E3"/>
    <w:rsid w:val="631E05FA"/>
    <w:rsid w:val="63436BA2"/>
    <w:rsid w:val="634376F7"/>
    <w:rsid w:val="63D85F0D"/>
    <w:rsid w:val="6456748E"/>
    <w:rsid w:val="647B702D"/>
    <w:rsid w:val="65900A51"/>
    <w:rsid w:val="659C3396"/>
    <w:rsid w:val="65FC37D4"/>
    <w:rsid w:val="665935D9"/>
    <w:rsid w:val="66DA6564"/>
    <w:rsid w:val="66E537D0"/>
    <w:rsid w:val="677A24B6"/>
    <w:rsid w:val="68503E83"/>
    <w:rsid w:val="68781637"/>
    <w:rsid w:val="687A78F9"/>
    <w:rsid w:val="68CE1443"/>
    <w:rsid w:val="69124FDF"/>
    <w:rsid w:val="69901EC0"/>
    <w:rsid w:val="69CA49FB"/>
    <w:rsid w:val="6A043746"/>
    <w:rsid w:val="6A5357A1"/>
    <w:rsid w:val="6A78052C"/>
    <w:rsid w:val="6A875334"/>
    <w:rsid w:val="6A884503"/>
    <w:rsid w:val="6AC5360B"/>
    <w:rsid w:val="6ADF0274"/>
    <w:rsid w:val="6AFC6911"/>
    <w:rsid w:val="6B1B61E1"/>
    <w:rsid w:val="6B206B79"/>
    <w:rsid w:val="6BC85164"/>
    <w:rsid w:val="6BFB6BCB"/>
    <w:rsid w:val="6C842205"/>
    <w:rsid w:val="6D225641"/>
    <w:rsid w:val="6D787B5D"/>
    <w:rsid w:val="6E0B664E"/>
    <w:rsid w:val="6E722F0C"/>
    <w:rsid w:val="6E8225F1"/>
    <w:rsid w:val="6F472C16"/>
    <w:rsid w:val="6F9718E7"/>
    <w:rsid w:val="6FD05487"/>
    <w:rsid w:val="70862B44"/>
    <w:rsid w:val="70C3452F"/>
    <w:rsid w:val="71356FE0"/>
    <w:rsid w:val="718805D0"/>
    <w:rsid w:val="72CC0D0F"/>
    <w:rsid w:val="731E1707"/>
    <w:rsid w:val="73C72D5A"/>
    <w:rsid w:val="73F551D4"/>
    <w:rsid w:val="743C7925"/>
    <w:rsid w:val="7449202E"/>
    <w:rsid w:val="74A72714"/>
    <w:rsid w:val="74ED7A64"/>
    <w:rsid w:val="74F22980"/>
    <w:rsid w:val="754822C9"/>
    <w:rsid w:val="7549328A"/>
    <w:rsid w:val="757E669A"/>
    <w:rsid w:val="765561D3"/>
    <w:rsid w:val="767F3925"/>
    <w:rsid w:val="76E55379"/>
    <w:rsid w:val="772050C3"/>
    <w:rsid w:val="773D4564"/>
    <w:rsid w:val="776948CD"/>
    <w:rsid w:val="776A46C0"/>
    <w:rsid w:val="77C57565"/>
    <w:rsid w:val="77F814DF"/>
    <w:rsid w:val="78746F95"/>
    <w:rsid w:val="78AB39F0"/>
    <w:rsid w:val="78B6314A"/>
    <w:rsid w:val="79181E93"/>
    <w:rsid w:val="7921275B"/>
    <w:rsid w:val="79905BFC"/>
    <w:rsid w:val="79E41632"/>
    <w:rsid w:val="7A3D329F"/>
    <w:rsid w:val="7A620D4B"/>
    <w:rsid w:val="7A8B377B"/>
    <w:rsid w:val="7AA11E6E"/>
    <w:rsid w:val="7AA60219"/>
    <w:rsid w:val="7B71655A"/>
    <w:rsid w:val="7B8168E2"/>
    <w:rsid w:val="7C745F09"/>
    <w:rsid w:val="7CA377F5"/>
    <w:rsid w:val="7D2726CD"/>
    <w:rsid w:val="7D2F6FEA"/>
    <w:rsid w:val="7D347EF8"/>
    <w:rsid w:val="7DBC526B"/>
    <w:rsid w:val="7E7D369D"/>
    <w:rsid w:val="7EBE117D"/>
    <w:rsid w:val="7EC22AF7"/>
    <w:rsid w:val="7F3A2ACC"/>
    <w:rsid w:val="7F442C7A"/>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6"/>
    <w:qFormat/>
    <w:uiPriority w:val="0"/>
    <w:pPr>
      <w:keepNext/>
      <w:keepLines/>
      <w:spacing w:before="340" w:after="330" w:line="576" w:lineRule="auto"/>
      <w:outlineLvl w:val="0"/>
    </w:pPr>
    <w:rPr>
      <w:b/>
      <w:kern w:val="44"/>
      <w:sz w:val="44"/>
    </w:rPr>
  </w:style>
  <w:style w:type="paragraph" w:styleId="6">
    <w:name w:val="heading 2"/>
    <w:basedOn w:val="1"/>
    <w:next w:val="7"/>
    <w:link w:val="19"/>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7">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8">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style>
  <w:style w:type="paragraph" w:styleId="4">
    <w:name w:val="Body Text 2"/>
    <w:basedOn w:val="1"/>
    <w:qFormat/>
    <w:uiPriority w:val="0"/>
    <w:pPr>
      <w:spacing w:after="120" w:line="480" w:lineRule="auto"/>
    </w:pPr>
  </w:style>
  <w:style w:type="paragraph" w:styleId="9">
    <w:name w:val="annotation text"/>
    <w:basedOn w:val="1"/>
    <w:qFormat/>
    <w:uiPriority w:val="0"/>
    <w:pPr>
      <w:jc w:val="left"/>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标题 2 字符"/>
    <w:link w:val="6"/>
    <w:qFormat/>
    <w:uiPriority w:val="9"/>
    <w:rPr>
      <w:rFonts w:ascii="Times New Roman" w:hAnsi="Times New Roman" w:eastAsia="仿宋" w:cs="Times New Roman"/>
      <w:b/>
      <w:sz w:val="32"/>
      <w:szCs w:val="32"/>
    </w:rPr>
  </w:style>
  <w:style w:type="character" w:customStyle="1" w:styleId="20">
    <w:name w:val="font21"/>
    <w:basedOn w:val="17"/>
    <w:qFormat/>
    <w:uiPriority w:val="0"/>
    <w:rPr>
      <w:rFonts w:hint="eastAsia" w:ascii="黑体" w:hAnsi="宋体" w:eastAsia="黑体" w:cs="黑体"/>
      <w:color w:val="000000"/>
      <w:sz w:val="13"/>
      <w:szCs w:val="13"/>
      <w:u w:val="none"/>
    </w:rPr>
  </w:style>
  <w:style w:type="character" w:customStyle="1" w:styleId="21">
    <w:name w:val="font11"/>
    <w:basedOn w:val="17"/>
    <w:qFormat/>
    <w:uiPriority w:val="0"/>
    <w:rPr>
      <w:rFonts w:hint="default" w:ascii="Times New Roman" w:hAnsi="Times New Roman" w:cs="Times New Roman"/>
      <w:color w:val="000000"/>
      <w:sz w:val="13"/>
      <w:szCs w:val="13"/>
      <w:u w:val="none"/>
    </w:rPr>
  </w:style>
  <w:style w:type="character" w:customStyle="1" w:styleId="22">
    <w:name w:val="font51"/>
    <w:basedOn w:val="17"/>
    <w:qFormat/>
    <w:uiPriority w:val="0"/>
    <w:rPr>
      <w:rFonts w:hint="eastAsia" w:ascii="黑体" w:hAnsi="宋体" w:eastAsia="黑体" w:cs="黑体"/>
      <w:color w:val="000000"/>
      <w:sz w:val="13"/>
      <w:szCs w:val="13"/>
      <w:u w:val="none"/>
      <w:vertAlign w:val="superscript"/>
    </w:rPr>
  </w:style>
  <w:style w:type="character" w:customStyle="1" w:styleId="23">
    <w:name w:val="font41"/>
    <w:basedOn w:val="17"/>
    <w:qFormat/>
    <w:uiPriority w:val="0"/>
    <w:rPr>
      <w:rFonts w:hint="eastAsia" w:ascii="宋体" w:hAnsi="宋体" w:eastAsia="宋体" w:cs="宋体"/>
      <w:color w:val="000000"/>
      <w:sz w:val="22"/>
      <w:szCs w:val="22"/>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27">
    <w:name w:val="font7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3858</Words>
  <Characters>4059</Characters>
  <Lines>43</Lines>
  <Paragraphs>12</Paragraphs>
  <TotalTime>115</TotalTime>
  <ScaleCrop>false</ScaleCrop>
  <LinksUpToDate>false</LinksUpToDate>
  <CharactersWithSpaces>4149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韩文芳</cp:lastModifiedBy>
  <dcterms:modified xsi:type="dcterms:W3CDTF">2022-05-07T08:49:32Z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4B3C4B1663154315AE62B466B1CA8016</vt:lpwstr>
  </property>
</Properties>
</file>